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C9" w:rsidRDefault="000443C9" w:rsidP="000443C9">
      <w:pPr>
        <w:spacing w:line="240" w:lineRule="auto"/>
        <w:contextualSpacing/>
      </w:pPr>
      <w:r>
        <w:t>Streszczenie</w:t>
      </w:r>
    </w:p>
    <w:p w:rsidR="000443C9" w:rsidRDefault="000443C9" w:rsidP="000443C9">
      <w:pPr>
        <w:spacing w:line="240" w:lineRule="auto"/>
        <w:contextualSpacing/>
      </w:pPr>
      <w:r>
        <w:t xml:space="preserve">Zaburzenia procesu </w:t>
      </w:r>
      <w:proofErr w:type="spellStart"/>
      <w:r>
        <w:t>adipogenezy</w:t>
      </w:r>
      <w:proofErr w:type="spellEnd"/>
      <w:r>
        <w:t xml:space="preserve"> (ADG) wisceralnych </w:t>
      </w:r>
      <w:proofErr w:type="spellStart"/>
      <w:r>
        <w:t>preadipocytów</w:t>
      </w:r>
      <w:proofErr w:type="spellEnd"/>
      <w:r>
        <w:t xml:space="preserve"> (</w:t>
      </w:r>
      <w:proofErr w:type="spellStart"/>
      <w:r>
        <w:t>pAds</w:t>
      </w:r>
      <w:proofErr w:type="spellEnd"/>
      <w:r>
        <w:t>) prowadzą do</w:t>
      </w:r>
    </w:p>
    <w:p w:rsidR="000443C9" w:rsidRDefault="000443C9" w:rsidP="000443C9">
      <w:pPr>
        <w:spacing w:line="240" w:lineRule="auto"/>
        <w:contextualSpacing/>
      </w:pPr>
      <w:r>
        <w:t>hipertrofii, hiperplazji i niedotlenienia trzewnej tkanki tłuszczowej (VAT). VAT wydziela cytokiny</w:t>
      </w:r>
    </w:p>
    <w:p w:rsidR="000443C9" w:rsidRDefault="000443C9" w:rsidP="000443C9">
      <w:pPr>
        <w:spacing w:line="240" w:lineRule="auto"/>
        <w:contextualSpacing/>
      </w:pPr>
      <w:r>
        <w:t xml:space="preserve">prozapalne, stanowiąc niezależny czynnik rozwoju </w:t>
      </w:r>
      <w:proofErr w:type="spellStart"/>
      <w:r>
        <w:t>insulinooporności</w:t>
      </w:r>
      <w:proofErr w:type="spellEnd"/>
      <w:r>
        <w:t xml:space="preserve"> (IR), co sprzyja indukcji stanu</w:t>
      </w:r>
    </w:p>
    <w:p w:rsidR="000443C9" w:rsidRDefault="000443C9" w:rsidP="000443C9">
      <w:pPr>
        <w:spacing w:line="240" w:lineRule="auto"/>
        <w:contextualSpacing/>
      </w:pPr>
      <w:proofErr w:type="spellStart"/>
      <w:r>
        <w:t>przedcukrzycowego</w:t>
      </w:r>
      <w:proofErr w:type="spellEnd"/>
      <w:r>
        <w:t xml:space="preserve"> (</w:t>
      </w:r>
      <w:proofErr w:type="spellStart"/>
      <w:r>
        <w:t>prediabetes</w:t>
      </w:r>
      <w:proofErr w:type="spellEnd"/>
      <w:r>
        <w:t xml:space="preserve">, w tym IFG oraz IGT) i cukrzycy typu 2 (T2DM). </w:t>
      </w:r>
      <w:proofErr w:type="spellStart"/>
      <w:r>
        <w:t>miRNA</w:t>
      </w:r>
      <w:proofErr w:type="spellEnd"/>
      <w:r>
        <w:t xml:space="preserve"> to</w:t>
      </w:r>
    </w:p>
    <w:p w:rsidR="000443C9" w:rsidRDefault="000443C9" w:rsidP="000443C9">
      <w:pPr>
        <w:spacing w:line="240" w:lineRule="auto"/>
        <w:contextualSpacing/>
      </w:pPr>
      <w:r>
        <w:t xml:space="preserve">wyrafinowane molekuły maszynerii epigenetycznej. Poziom ekspresji </w:t>
      </w:r>
      <w:proofErr w:type="spellStart"/>
      <w:r>
        <w:t>miRNA</w:t>
      </w:r>
      <w:proofErr w:type="spellEnd"/>
      <w:r>
        <w:t xml:space="preserve"> jest modulowany przez</w:t>
      </w:r>
    </w:p>
    <w:p w:rsidR="000443C9" w:rsidRDefault="000443C9" w:rsidP="000443C9">
      <w:pPr>
        <w:spacing w:line="240" w:lineRule="auto"/>
        <w:contextualSpacing/>
      </w:pPr>
      <w:r>
        <w:t>białka wysoce istotne dla patogenezy chorób związanych z otyłością i hiperglikemią (HG), takich jak</w:t>
      </w:r>
    </w:p>
    <w:p w:rsidR="000443C9" w:rsidRDefault="000443C9" w:rsidP="000443C9">
      <w:pPr>
        <w:spacing w:line="240" w:lineRule="auto"/>
        <w:contextualSpacing/>
      </w:pPr>
      <w:r>
        <w:t>Sirt1 czy p53. Do głównych celów tegoż badania należały : (i) ocena poziomu ekspresji 78 cząsteczek</w:t>
      </w:r>
    </w:p>
    <w:p w:rsidR="000443C9" w:rsidRDefault="000443C9" w:rsidP="000443C9">
      <w:pPr>
        <w:spacing w:line="240" w:lineRule="auto"/>
        <w:contextualSpacing/>
      </w:pPr>
      <w:proofErr w:type="spellStart"/>
      <w:r>
        <w:t>miRNA</w:t>
      </w:r>
      <w:proofErr w:type="spellEnd"/>
      <w:r>
        <w:t xml:space="preserve"> w trakcie 3-etapowej ADG </w:t>
      </w:r>
      <w:proofErr w:type="spellStart"/>
      <w:r>
        <w:t>pAds</w:t>
      </w:r>
      <w:proofErr w:type="spellEnd"/>
      <w:r>
        <w:t xml:space="preserve"> wisceralnych linii HPA-v traktowanych lub nie HG chroniczną</w:t>
      </w:r>
    </w:p>
    <w:p w:rsidR="000443C9" w:rsidRDefault="000443C9" w:rsidP="000443C9">
      <w:pPr>
        <w:spacing w:line="240" w:lineRule="auto"/>
        <w:contextualSpacing/>
      </w:pPr>
      <w:r>
        <w:t>i przerywaną (14 wariantów hodowlanych p/</w:t>
      </w:r>
      <w:proofErr w:type="spellStart"/>
      <w:r>
        <w:t>Ads</w:t>
      </w:r>
      <w:proofErr w:type="spellEnd"/>
      <w:r>
        <w:t xml:space="preserve">), (ii) ocena poziomu </w:t>
      </w:r>
      <w:r>
        <w:t xml:space="preserve">ekspresji 75 cząsteczek </w:t>
      </w:r>
      <w:proofErr w:type="spellStart"/>
      <w:r>
        <w:t>miRNA</w:t>
      </w:r>
      <w:proofErr w:type="spellEnd"/>
      <w:r>
        <w:t xml:space="preserve"> w </w:t>
      </w:r>
      <w:r>
        <w:t xml:space="preserve">próbkach VAT pobranych od pacjentów (N = 38) ze stanem </w:t>
      </w:r>
      <w:proofErr w:type="spellStart"/>
      <w:r>
        <w:t>przedcuk</w:t>
      </w:r>
      <w:r>
        <w:t>rzycowym</w:t>
      </w:r>
      <w:proofErr w:type="spellEnd"/>
      <w:r>
        <w:t xml:space="preserve"> (IFG), cukrzycą (T2DM) </w:t>
      </w:r>
      <w:r>
        <w:t xml:space="preserve">oraz osób z prawidłową glikemią za pomocą </w:t>
      </w:r>
      <w:proofErr w:type="spellStart"/>
      <w:r>
        <w:t>Custom</w:t>
      </w:r>
      <w:proofErr w:type="spellEnd"/>
      <w:r>
        <w:t xml:space="preserve"> TLDA </w:t>
      </w:r>
      <w:proofErr w:type="spellStart"/>
      <w:r>
        <w:t>miRNA</w:t>
      </w:r>
      <w:proofErr w:type="spellEnd"/>
      <w:r>
        <w:t xml:space="preserve"> Cards i metody </w:t>
      </w:r>
      <w:proofErr w:type="spellStart"/>
      <w:r>
        <w:t>qPCR</w:t>
      </w:r>
      <w:proofErr w:type="spellEnd"/>
      <w:r>
        <w:t>.</w:t>
      </w:r>
    </w:p>
    <w:p w:rsidR="000443C9" w:rsidRDefault="000443C9" w:rsidP="000443C9">
      <w:pPr>
        <w:spacing w:line="240" w:lineRule="auto"/>
        <w:contextualSpacing/>
      </w:pPr>
      <w:r>
        <w:t xml:space="preserve">HG wpłynęła na wzorce ekspresji </w:t>
      </w:r>
      <w:proofErr w:type="spellStart"/>
      <w:r>
        <w:t>miRNA</w:t>
      </w:r>
      <w:proofErr w:type="spellEnd"/>
      <w:r>
        <w:t xml:space="preserve"> podczas ADG oraz, zarówno chroniczna jak i przerywana,</w:t>
      </w:r>
    </w:p>
    <w:p w:rsidR="000443C9" w:rsidRDefault="000443C9" w:rsidP="000443C9">
      <w:pPr>
        <w:spacing w:line="240" w:lineRule="auto"/>
        <w:contextualSpacing/>
      </w:pPr>
      <w:r>
        <w:t xml:space="preserve">na etapie </w:t>
      </w:r>
      <w:proofErr w:type="spellStart"/>
      <w:r>
        <w:t>pAds</w:t>
      </w:r>
      <w:proofErr w:type="spellEnd"/>
      <w:r>
        <w:t xml:space="preserve">, zróżnicowanych i dojrzałych </w:t>
      </w:r>
      <w:proofErr w:type="spellStart"/>
      <w:r>
        <w:t>Ads</w:t>
      </w:r>
      <w:proofErr w:type="spellEnd"/>
      <w:r>
        <w:t xml:space="preserve"> w porównaniu do NG. Zmiany wywołane ekspozycją</w:t>
      </w:r>
    </w:p>
    <w:p w:rsidR="000443C9" w:rsidRDefault="000443C9" w:rsidP="000443C9">
      <w:pPr>
        <w:spacing w:line="240" w:lineRule="auto"/>
        <w:contextualSpacing/>
      </w:pPr>
      <w:r>
        <w:t>na HG podczas jednego etapu AGD przypominały te obserwowane przy przewlekłej HG, stąd wyniki</w:t>
      </w:r>
    </w:p>
    <w:p w:rsidR="000443C9" w:rsidRDefault="000443C9" w:rsidP="000443C9">
      <w:pPr>
        <w:spacing w:line="240" w:lineRule="auto"/>
        <w:contextualSpacing/>
      </w:pPr>
      <w:r>
        <w:t xml:space="preserve">zdają się sugerować, że </w:t>
      </w:r>
      <w:proofErr w:type="spellStart"/>
      <w:r>
        <w:t>miRNA</w:t>
      </w:r>
      <w:proofErr w:type="spellEnd"/>
      <w:r>
        <w:t xml:space="preserve"> mogą być cząsteczkami uczestniczącymi w zapamiętywaniu efektu</w:t>
      </w:r>
    </w:p>
    <w:p w:rsidR="000443C9" w:rsidRDefault="000443C9" w:rsidP="000443C9">
      <w:pPr>
        <w:spacing w:line="240" w:lineRule="auto"/>
        <w:contextualSpacing/>
      </w:pPr>
      <w:r>
        <w:t xml:space="preserve">zależnego od HG w wisceralnych </w:t>
      </w:r>
      <w:proofErr w:type="spellStart"/>
      <w:r>
        <w:t>pAds</w:t>
      </w:r>
      <w:proofErr w:type="spellEnd"/>
      <w:r>
        <w:t>. Udało się również wyodrębnić co najmniej 15 cząsteczek</w:t>
      </w:r>
    </w:p>
    <w:p w:rsidR="000443C9" w:rsidRDefault="000443C9" w:rsidP="000443C9">
      <w:pPr>
        <w:spacing w:line="240" w:lineRule="auto"/>
        <w:contextualSpacing/>
      </w:pPr>
      <w:proofErr w:type="spellStart"/>
      <w:r>
        <w:t>miRNA</w:t>
      </w:r>
      <w:proofErr w:type="spellEnd"/>
      <w:r>
        <w:t xml:space="preserve"> (miR-376c-3p, miR-140-5p, miR-151a-5p, miR-374b-5p, miR-193b-3p, miR-106b-5p, miR-16-</w:t>
      </w:r>
    </w:p>
    <w:p w:rsidR="000443C9" w:rsidRDefault="000443C9" w:rsidP="000443C9">
      <w:pPr>
        <w:spacing w:line="240" w:lineRule="auto"/>
        <w:contextualSpacing/>
      </w:pPr>
      <w:r>
        <w:t>5p, miR-93-3p, let-7g-5p, miR-193a-5p, miR-26b-5p, miR-29a-3p, miR-93-3p, miR-484), których</w:t>
      </w:r>
    </w:p>
    <w:p w:rsidR="000443C9" w:rsidRDefault="000443C9" w:rsidP="000443C9">
      <w:pPr>
        <w:spacing w:line="240" w:lineRule="auto"/>
        <w:contextualSpacing/>
      </w:pPr>
      <w:r>
        <w:t>ekspresja uległa zmianie podczas ADG w warunkach NG oraz HG oraz w odpowiedzi na jeden lub</w:t>
      </w:r>
    </w:p>
    <w:p w:rsidR="000443C9" w:rsidRDefault="000443C9" w:rsidP="000443C9">
      <w:pPr>
        <w:spacing w:line="240" w:lineRule="auto"/>
        <w:contextualSpacing/>
      </w:pPr>
      <w:r>
        <w:t>chroniczny bodziec HG na 3 etapach ADG. Analizując za pomocą narzędzi statystycznych wyniki</w:t>
      </w:r>
    </w:p>
    <w:p w:rsidR="000443C9" w:rsidRDefault="000443C9" w:rsidP="000443C9">
      <w:pPr>
        <w:spacing w:line="240" w:lineRule="auto"/>
        <w:contextualSpacing/>
      </w:pPr>
      <w:r>
        <w:t>uzyskane dla próbek VAT, postanowiłam gruntownie przeanalizować wyniki uzyskane wyłącznie dla</w:t>
      </w:r>
    </w:p>
    <w:p w:rsidR="000443C9" w:rsidRDefault="000443C9" w:rsidP="000443C9">
      <w:pPr>
        <w:spacing w:line="240" w:lineRule="auto"/>
        <w:contextualSpacing/>
      </w:pPr>
      <w:r>
        <w:t xml:space="preserve">kobiet (N=26). To pozwoliło mi na wyłonienie 15 cząsteczek </w:t>
      </w:r>
      <w:proofErr w:type="spellStart"/>
      <w:r>
        <w:t>miRNA</w:t>
      </w:r>
      <w:proofErr w:type="spellEnd"/>
      <w:r>
        <w:t xml:space="preserve"> o zmienionym poziomie ekspresji</w:t>
      </w:r>
    </w:p>
    <w:p w:rsidR="000443C9" w:rsidRDefault="000443C9" w:rsidP="000443C9">
      <w:pPr>
        <w:spacing w:line="240" w:lineRule="auto"/>
        <w:contextualSpacing/>
      </w:pPr>
      <w:r>
        <w:t>spośród kobiet z grup NG, T2DM, IFG (miR-10a-5p, let-7d-5p, miR-532-5p, miR-127-3p, miR-125b-5p,</w:t>
      </w:r>
    </w:p>
    <w:p w:rsidR="000443C9" w:rsidRDefault="000443C9" w:rsidP="000443C9">
      <w:pPr>
        <w:spacing w:line="240" w:lineRule="auto"/>
        <w:contextualSpacing/>
      </w:pPr>
      <w:r>
        <w:t>let-7a-5p, let-7e-5p, miR-199a-3p, miR-365a-3p, miR-99a-5p, miR-100-5p, miR-342-3p, miR-146b-5p,</w:t>
      </w:r>
    </w:p>
    <w:p w:rsidR="000443C9" w:rsidRDefault="000443C9" w:rsidP="000443C9">
      <w:pPr>
        <w:spacing w:line="240" w:lineRule="auto"/>
        <w:contextualSpacing/>
      </w:pPr>
      <w:r>
        <w:t xml:space="preserve">miR-204-5p, miR-409-3p). Ekspresja większości znacząco zmienionych </w:t>
      </w:r>
      <w:proofErr w:type="spellStart"/>
      <w:r>
        <w:t>miRNA</w:t>
      </w:r>
      <w:proofErr w:type="spellEnd"/>
      <w:r>
        <w:t xml:space="preserve"> była podobnie</w:t>
      </w:r>
    </w:p>
    <w:p w:rsidR="000443C9" w:rsidRDefault="000443C9" w:rsidP="000443C9">
      <w:pPr>
        <w:spacing w:line="240" w:lineRule="auto"/>
        <w:contextualSpacing/>
      </w:pPr>
      <w:r>
        <w:t>podwyższona w VAT kobiet z T2DM i IFG w porównaniu z pacjentkami z NG, w tym dodatnio</w:t>
      </w:r>
    </w:p>
    <w:p w:rsidR="000443C9" w:rsidRDefault="000443C9" w:rsidP="000443C9">
      <w:pPr>
        <w:spacing w:line="240" w:lineRule="auto"/>
        <w:contextualSpacing/>
      </w:pPr>
      <w:r>
        <w:t>skorelowana z poziomem FPG i HbA1c, ale nieskorelowana z WHR/BMI. Co istotne, miR-1</w:t>
      </w:r>
      <w:r>
        <w:t xml:space="preserve">0a-5p okazał </w:t>
      </w:r>
      <w:r>
        <w:t xml:space="preserve">się być molekułą wykazującą interesujące zmiany ekspresji uzyskane </w:t>
      </w:r>
      <w:r>
        <w:t xml:space="preserve">na modelu HPA-v (podobne zmiany </w:t>
      </w:r>
      <w:r>
        <w:t xml:space="preserve">ekspresji wywołane wpływem chronicznej i przerywanej HG), jak </w:t>
      </w:r>
      <w:r>
        <w:t xml:space="preserve">również w próbkach VAT (podobny </w:t>
      </w:r>
      <w:r>
        <w:t xml:space="preserve">stopień podwyższenia ekspresji tegoż </w:t>
      </w:r>
      <w:proofErr w:type="spellStart"/>
      <w:r>
        <w:t>miRNA</w:t>
      </w:r>
      <w:proofErr w:type="spellEnd"/>
      <w:r>
        <w:t xml:space="preserve"> u pacjentek z grup</w:t>
      </w:r>
      <w:r>
        <w:t xml:space="preserve">y IFG oraz T2DM w porównaniu do </w:t>
      </w:r>
      <w:r>
        <w:t xml:space="preserve">NG, najbardziej zmieniona ekspresja </w:t>
      </w:r>
      <w:proofErr w:type="spellStart"/>
      <w:r>
        <w:t>miRNA</w:t>
      </w:r>
      <w:proofErr w:type="spellEnd"/>
      <w:r>
        <w:t xml:space="preserve"> ze wszystkich badanyc</w:t>
      </w:r>
      <w:r>
        <w:t xml:space="preserve">h cząsteczek w VAT). Analizy in </w:t>
      </w:r>
      <w:proofErr w:type="spellStart"/>
      <w:r>
        <w:t>silico</w:t>
      </w:r>
      <w:proofErr w:type="spellEnd"/>
      <w:r>
        <w:t xml:space="preserve"> przeprowadzone zarówno na wynikach in vitro jak i ex vivo </w:t>
      </w:r>
      <w:r>
        <w:t xml:space="preserve">wykazały, że istotnie zmienione </w:t>
      </w:r>
      <w:proofErr w:type="spellStart"/>
      <w:r>
        <w:t>miRNA</w:t>
      </w:r>
      <w:proofErr w:type="spellEnd"/>
      <w:r>
        <w:t xml:space="preserve"> wydają się być powiązane ze stresem oksydacyjnym, zap</w:t>
      </w:r>
      <w:r>
        <w:t xml:space="preserve">aleniem, sygnalizacją insuliny, </w:t>
      </w:r>
      <w:r>
        <w:t xml:space="preserve">sygnalizacją p53 i </w:t>
      </w:r>
      <w:proofErr w:type="spellStart"/>
      <w:r>
        <w:t>sirtuiny</w:t>
      </w:r>
      <w:proofErr w:type="spellEnd"/>
      <w:r>
        <w:t xml:space="preserve"> 1, naprawą DNA, metabolizmem lipidów o</w:t>
      </w:r>
      <w:r>
        <w:t xml:space="preserve">raz sygnalizacją </w:t>
      </w:r>
      <w:proofErr w:type="spellStart"/>
      <w:r>
        <w:t>adipocytokin</w:t>
      </w:r>
      <w:proofErr w:type="spellEnd"/>
      <w:r>
        <w:t xml:space="preserve"> i cytokin. </w:t>
      </w:r>
    </w:p>
    <w:p w:rsidR="004B0C26" w:rsidRDefault="000443C9" w:rsidP="000443C9">
      <w:pPr>
        <w:spacing w:line="240" w:lineRule="auto"/>
        <w:contextualSpacing/>
      </w:pPr>
      <w:r>
        <w:t>Podsumowując, uzyskane wyniki mogą sugerować, że HG wykorzystuje mechanizm epig</w:t>
      </w:r>
      <w:r>
        <w:t xml:space="preserve">enetyczny </w:t>
      </w:r>
      <w:r>
        <w:t xml:space="preserve">związany z interferencją </w:t>
      </w:r>
      <w:proofErr w:type="spellStart"/>
      <w:r>
        <w:t>miRNA</w:t>
      </w:r>
      <w:proofErr w:type="spellEnd"/>
      <w:r>
        <w:t xml:space="preserve"> do zaburzania ADG wisceralnej p</w:t>
      </w:r>
      <w:r>
        <w:t xml:space="preserve">oprzez regulację licznych genów </w:t>
      </w:r>
      <w:r>
        <w:t>docelowych, w ten sposób promując dalszą dysfunkcję tkanki trzewn</w:t>
      </w:r>
      <w:r>
        <w:t xml:space="preserve">ej. VAT jako tkanka uwalniająca </w:t>
      </w:r>
      <w:r>
        <w:t xml:space="preserve">cząsteczki </w:t>
      </w:r>
      <w:proofErr w:type="spellStart"/>
      <w:r>
        <w:t>miRNA</w:t>
      </w:r>
      <w:proofErr w:type="spellEnd"/>
      <w:r>
        <w:t xml:space="preserve"> może dodatkowo wpływać nawet na oddalone </w:t>
      </w:r>
      <w:r>
        <w:t xml:space="preserve">organy, w ten sposób stymulować </w:t>
      </w:r>
      <w:r>
        <w:t>progresję fenotypu cukrzycowego i powikłań cukrzycowych. D</w:t>
      </w:r>
      <w:r>
        <w:t xml:space="preserve">alsze badania mogą być ciekawym </w:t>
      </w:r>
      <w:r>
        <w:t>wkładem do potwierdzenia hipotezy o występowaniu w komórka</w:t>
      </w:r>
      <w:r>
        <w:t xml:space="preserve">ch wisceralnych zjawiska dobrze </w:t>
      </w:r>
      <w:r>
        <w:t xml:space="preserve">znanego komórkom </w:t>
      </w:r>
      <w:proofErr w:type="spellStart"/>
      <w:r>
        <w:t>endotelialnym</w:t>
      </w:r>
      <w:proofErr w:type="spellEnd"/>
      <w:r>
        <w:t>, a mianowicie, pamięci metabolicznej</w:t>
      </w:r>
      <w:r>
        <w:t xml:space="preserve">. Biorąc pod uwagę jak często w </w:t>
      </w:r>
      <w:r>
        <w:t xml:space="preserve">tym badaniu zmiany </w:t>
      </w:r>
      <w:proofErr w:type="spellStart"/>
      <w:r>
        <w:t>miRNA</w:t>
      </w:r>
      <w:proofErr w:type="spellEnd"/>
      <w:r>
        <w:t xml:space="preserve"> zostały powiązane z sygnalizacją białka p5</w:t>
      </w:r>
      <w:r>
        <w:t xml:space="preserve">3, szczególnie istotne może być </w:t>
      </w:r>
      <w:r>
        <w:t xml:space="preserve">zbadanie wpływu p53 na globalne zmiany ekspresji </w:t>
      </w:r>
      <w:proofErr w:type="spellStart"/>
      <w:r>
        <w:t>miRNA</w:t>
      </w:r>
      <w:proofErr w:type="spellEnd"/>
      <w:r>
        <w:t xml:space="preserve"> pod wpływem HG.</w:t>
      </w:r>
      <w:bookmarkStart w:id="0" w:name="_GoBack"/>
      <w:bookmarkEnd w:id="0"/>
    </w:p>
    <w:sectPr w:rsidR="004B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C9"/>
    <w:rsid w:val="000443C9"/>
    <w:rsid w:val="002724F3"/>
    <w:rsid w:val="00B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054C"/>
  <w15:chartTrackingRefBased/>
  <w15:docId w15:val="{E8C3E9D9-0F3F-4BFB-A1C6-3C7BFE50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</cp:revision>
  <dcterms:created xsi:type="dcterms:W3CDTF">2024-03-18T06:25:00Z</dcterms:created>
  <dcterms:modified xsi:type="dcterms:W3CDTF">2024-03-18T06:29:00Z</dcterms:modified>
</cp:coreProperties>
</file>